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66A" w:rsidRDefault="000B04C3">
      <w:pPr>
        <w:tabs>
          <w:tab w:val="left" w:pos="2447"/>
          <w:tab w:val="left" w:pos="3882"/>
          <w:tab w:val="left" w:pos="8039"/>
        </w:tabs>
        <w:ind w:left="2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5661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61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66A" w:rsidRDefault="00E6366A">
      <w:pPr>
        <w:pStyle w:val="Corpsdetexte"/>
        <w:spacing w:before="0"/>
        <w:ind w:left="0"/>
        <w:rPr>
          <w:rFonts w:ascii="Times New Roman"/>
          <w:sz w:val="20"/>
        </w:rPr>
      </w:pPr>
    </w:p>
    <w:p w:rsidR="00E6366A" w:rsidRDefault="00E6366A">
      <w:pPr>
        <w:pStyle w:val="Corpsdetexte"/>
        <w:spacing w:before="5"/>
        <w:ind w:left="0"/>
        <w:rPr>
          <w:rFonts w:ascii="Times New Roman"/>
          <w:sz w:val="25"/>
        </w:rPr>
      </w:pPr>
    </w:p>
    <w:p w:rsidR="00E6366A" w:rsidRDefault="000B04C3">
      <w:pPr>
        <w:pStyle w:val="Corpsdetexte"/>
        <w:spacing w:before="100"/>
        <w:ind w:left="213"/>
      </w:pPr>
      <w:r>
        <w:rPr>
          <w:color w:val="595959"/>
        </w:rPr>
        <w:t>DESENVOLVIMENTO DE CAPACIDADES DE ELABORAÇÃO DE LEIS E POLÍTICAS SOBRE DESLOCAÇÕES INTERNAS</w:t>
      </w:r>
    </w:p>
    <w:p w:rsidR="00E6366A" w:rsidRDefault="00E6366A">
      <w:pPr>
        <w:pStyle w:val="Corpsdetexte"/>
        <w:spacing w:before="0"/>
        <w:ind w:left="0"/>
        <w:rPr>
          <w:sz w:val="28"/>
        </w:rPr>
      </w:pPr>
    </w:p>
    <w:p w:rsidR="00E6366A" w:rsidRDefault="00E6366A">
      <w:pPr>
        <w:pStyle w:val="Corpsdetexte"/>
        <w:spacing w:before="0"/>
        <w:ind w:left="0"/>
        <w:rPr>
          <w:sz w:val="28"/>
        </w:rPr>
      </w:pPr>
    </w:p>
    <w:p w:rsidR="00E6366A" w:rsidRDefault="00E6366A">
      <w:pPr>
        <w:pStyle w:val="Corpsdetexte"/>
        <w:spacing w:before="6"/>
        <w:ind w:left="0"/>
        <w:rPr>
          <w:sz w:val="25"/>
        </w:rPr>
      </w:pPr>
    </w:p>
    <w:p w:rsidR="00E6366A" w:rsidRDefault="000B04C3">
      <w:pPr>
        <w:pStyle w:val="Titre"/>
      </w:pPr>
      <w:r>
        <w:rPr>
          <w:color w:val="5B9BD5"/>
        </w:rPr>
        <w:t>SESSÃO 3: RESPOSTA E RESPONSABILIDADE</w:t>
      </w:r>
    </w:p>
    <w:p w:rsidR="00E6366A" w:rsidRDefault="00E6366A">
      <w:pPr>
        <w:pStyle w:val="Corpsdetexte"/>
        <w:spacing w:before="0"/>
        <w:ind w:left="0"/>
        <w:rPr>
          <w:sz w:val="20"/>
        </w:rPr>
      </w:pPr>
    </w:p>
    <w:p w:rsidR="00E6366A" w:rsidRDefault="00E6366A">
      <w:pPr>
        <w:pStyle w:val="Corpsdetexte"/>
        <w:spacing w:before="0"/>
        <w:ind w:left="0"/>
        <w:rPr>
          <w:sz w:val="20"/>
        </w:rPr>
      </w:pPr>
    </w:p>
    <w:p w:rsidR="00E6366A" w:rsidRDefault="00E6366A">
      <w:pPr>
        <w:pStyle w:val="Corpsdetexte"/>
        <w:spacing w:before="0"/>
        <w:ind w:left="0"/>
        <w:rPr>
          <w:sz w:val="20"/>
        </w:rPr>
      </w:pPr>
    </w:p>
    <w:p w:rsidR="00E6366A" w:rsidRDefault="00E6366A">
      <w:pPr>
        <w:pStyle w:val="Corpsdetexte"/>
        <w:spacing w:before="0"/>
        <w:ind w:left="0"/>
        <w:rPr>
          <w:sz w:val="20"/>
        </w:rPr>
      </w:pPr>
    </w:p>
    <w:p w:rsidR="00E6366A" w:rsidRDefault="000B04C3">
      <w:pPr>
        <w:pStyle w:val="Corpsdetexte"/>
        <w:spacing w:before="2"/>
        <w:ind w:left="0"/>
        <w:rPr>
          <w:sz w:val="22"/>
        </w:rPr>
      </w:pPr>
      <w:r>
        <w:pict>
          <v:group id="_x0000_s1032" style="position:absolute;margin-left:65.4pt;margin-top:8.55pt;width:106.1pt;height:513.45pt;z-index:15728640;mso-position-horizontal-relative:page" coordorigin="1308,-99" coordsize="2122,9725">
            <v:rect id="_x0000_s1034" style="position:absolute;left:1308;top:-99;width:2122;height:9725" fillcolor="#deeaf6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1308;top:-99;width:2122;height:9725" filled="f" stroked="f">
              <v:textbox inset="0,0,0,0">
                <w:txbxContent>
                  <w:p w:rsidR="00E6366A" w:rsidRDefault="00E6366A">
                    <w:pPr>
                      <w:spacing w:before="1"/>
                    </w:pPr>
                  </w:p>
                  <w:p w:rsidR="00E6366A" w:rsidRDefault="000B04C3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RESUMO</w:t>
                    </w:r>
                  </w:p>
                </w:txbxContent>
              </v:textbox>
            </v:shape>
            <w10:wrap anchorx="page"/>
          </v:group>
        </w:pict>
      </w:r>
    </w:p>
    <w:p w:rsidR="00E6366A" w:rsidRDefault="000B04C3">
      <w:pPr>
        <w:pStyle w:val="Corpsdetexte"/>
        <w:spacing w:before="100"/>
        <w:ind w:left="2335" w:right="159"/>
        <w:jc w:val="both"/>
      </w:pPr>
      <w:r>
        <w:t>Uma vez que as PDI vivem dentro das fronteiras dos seus próprios países e estão sob a jurisdição do seu governo, a responsabilidade primária pela resposta às suas necessidades de proteção e assistência cabe às autoridades nacionais. Esta sessão aborda o pa</w:t>
      </w:r>
      <w:r>
        <w:t>pel das autoridades nacionais na prevenção da deslocação e na resposta à mesma como elemento da sua soberania.</w:t>
      </w:r>
    </w:p>
    <w:p w:rsidR="00E6366A" w:rsidRDefault="000B04C3">
      <w:pPr>
        <w:pStyle w:val="Corpsdetexte"/>
        <w:spacing w:before="201"/>
        <w:ind w:left="2335" w:right="158"/>
        <w:jc w:val="both"/>
      </w:pPr>
      <w:r>
        <w:t xml:space="preserve">Uma resposta nacional, por definição, deve ser inclusiva e </w:t>
      </w:r>
      <w:r>
        <w:t>abranger todas as situações de deslocação e todas as PDI, sem discriminação. Isto significa que a responsabilidade nacional deve também ser abrangente, incluindo mulheres, crianças, idosos e todos os outros grupos com necessidades especiais. Deve abarcar t</w:t>
      </w:r>
      <w:r>
        <w:t>odas as necessidades, incluindo proteção, alimentação, água limpa, habitação, cuidados médicos e outra ajuda humanitária básica, todas as fases da deslocação e todas as áreas afetadas.</w:t>
      </w:r>
    </w:p>
    <w:p w:rsidR="00E6366A" w:rsidRDefault="000B04C3">
      <w:pPr>
        <w:pStyle w:val="Corpsdetexte"/>
        <w:spacing w:before="200"/>
        <w:ind w:left="2335" w:right="158"/>
        <w:jc w:val="both"/>
      </w:pPr>
      <w:r>
        <w:t>A primeira parte desta sessão centra-se na identificação de lacunas nas</w:t>
      </w:r>
      <w:r>
        <w:t xml:space="preserve"> respostas nacionais e a segunda parte aborda as principais áreas de responsabilidade do estado. É apresentado o quadro de Brookings-Berna para a responsabilidade nacional, que define referências para abordar a deslocação neste sentido. Muitas leis e polít</w:t>
      </w:r>
      <w:r>
        <w:t>icas recentes incorporaram as áreas de responsabilidade que define.</w:t>
      </w:r>
    </w:p>
    <w:p w:rsidR="00E6366A" w:rsidRDefault="000B04C3">
      <w:pPr>
        <w:pStyle w:val="Corpsdetexte"/>
        <w:spacing w:before="201" w:line="242" w:lineRule="auto"/>
        <w:ind w:left="2335" w:right="158"/>
        <w:jc w:val="both"/>
      </w:pPr>
      <w:r>
        <w:t>Os dez passos principais que as autoridades nacionais devem dar na resposta às deslocações internas, segundo o quadro de Brookings-Berna para a responsabilidade nacional são: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115"/>
        <w:ind w:hanging="358"/>
        <w:rPr>
          <w:sz w:val="24"/>
        </w:rPr>
      </w:pPr>
      <w:r>
        <w:rPr>
          <w:sz w:val="24"/>
        </w:rPr>
        <w:t>Prevenir a de</w:t>
      </w:r>
      <w:r>
        <w:rPr>
          <w:sz w:val="24"/>
        </w:rPr>
        <w:t>slocação e minimizar os seus efeitos adversos.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hanging="358"/>
        <w:rPr>
          <w:sz w:val="24"/>
        </w:rPr>
      </w:pPr>
      <w:r>
        <w:rPr>
          <w:sz w:val="24"/>
        </w:rPr>
        <w:t>Sensibilizar para o problema a nível nacional.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hanging="358"/>
        <w:rPr>
          <w:sz w:val="24"/>
        </w:rPr>
      </w:pPr>
      <w:r>
        <w:rPr>
          <w:sz w:val="24"/>
        </w:rPr>
        <w:t>Recolher dados sobre o número e as condições das PDI.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hanging="358"/>
        <w:rPr>
          <w:sz w:val="24"/>
        </w:rPr>
      </w:pPr>
      <w:r>
        <w:rPr>
          <w:sz w:val="24"/>
        </w:rPr>
        <w:t>Apoiar a formação sobre os direitos das PDI.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119"/>
        <w:ind w:hanging="358"/>
        <w:rPr>
          <w:sz w:val="24"/>
        </w:rPr>
      </w:pPr>
      <w:r>
        <w:rPr>
          <w:sz w:val="24"/>
        </w:rPr>
        <w:t>Criar um quadro legal que defende os direitos das PDI.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hanging="358"/>
        <w:rPr>
          <w:sz w:val="24"/>
        </w:rPr>
      </w:pPr>
      <w:r>
        <w:rPr>
          <w:sz w:val="24"/>
        </w:rPr>
        <w:t>Desenvol</w:t>
      </w:r>
      <w:r>
        <w:rPr>
          <w:sz w:val="24"/>
        </w:rPr>
        <w:t>ver uma política nacional sobre as deslocações internas.</w:t>
      </w:r>
    </w:p>
    <w:p w:rsidR="00E6366A" w:rsidRDefault="00E6366A">
      <w:pPr>
        <w:rPr>
          <w:sz w:val="24"/>
        </w:rPr>
        <w:sectPr w:rsidR="00E6366A">
          <w:type w:val="continuous"/>
          <w:pgSz w:w="11900" w:h="16820"/>
          <w:pgMar w:top="900" w:right="1480" w:bottom="280" w:left="1200" w:header="720" w:footer="720" w:gutter="0"/>
          <w:cols w:space="720"/>
        </w:sectPr>
      </w:pP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115"/>
        <w:ind w:hanging="358"/>
        <w:rPr>
          <w:sz w:val="24"/>
        </w:rPr>
      </w:pPr>
      <w:r>
        <w:lastRenderedPageBreak/>
        <w:pict>
          <v:group id="_x0000_s1029" style="position:absolute;left:0;text-align:left;margin-left:65.4pt;margin-top:70.7pt;width:106.1pt;height:693.4pt;z-index:15729152;mso-position-horizontal-relative:page;mso-position-vertical-relative:page" coordorigin="1308,1414" coordsize="2122,13868">
            <v:shape id="_x0000_s1031" style="position:absolute;left:1308;top:1413;width:2122;height:13868" coordorigin="1308,1414" coordsize="2122,13868" path="m3430,1414r-2122,l1308,9766r,2611l1308,15281r2122,l3430,12377r,-2611l3430,1414xe" fillcolor="#deeaf6" stroked="f">
              <v:path arrowok="t"/>
            </v:shape>
            <v:shape id="_x0000_s1030" type="#_x0000_t202" style="position:absolute;left:1308;top:1413;width:2122;height:13868" filled="f" stroked="f">
              <v:textbox inset="0,0,0,0">
                <w:txbxContent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0B04C3" w:rsidRDefault="000B04C3">
                    <w:pPr>
                      <w:rPr>
                        <w:sz w:val="26"/>
                      </w:rPr>
                    </w:pPr>
                  </w:p>
                  <w:p w:rsidR="000B04C3" w:rsidRDefault="000B04C3">
                    <w:pPr>
                      <w:rPr>
                        <w:sz w:val="26"/>
                      </w:rPr>
                    </w:pPr>
                    <w:bookmarkStart w:id="0" w:name="_GoBack"/>
                    <w:bookmarkEnd w:id="0"/>
                  </w:p>
                  <w:p w:rsidR="00E6366A" w:rsidRDefault="00E6366A">
                    <w:pPr>
                      <w:spacing w:before="4"/>
                      <w:rPr>
                        <w:sz w:val="30"/>
                      </w:rPr>
                    </w:pPr>
                  </w:p>
                  <w:p w:rsidR="00E6366A" w:rsidRDefault="000B04C3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OBJETIVOS</w:t>
                    </w: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spacing w:before="11"/>
                      <w:rPr>
                        <w:sz w:val="36"/>
                      </w:rPr>
                    </w:pPr>
                  </w:p>
                  <w:p w:rsidR="00E6366A" w:rsidRDefault="000B04C3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PRINCIPAIS MENSAGENS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sz w:val="24"/>
        </w:rPr>
        <w:t>Nomear um ponto focal institucional para as PDI.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right="158"/>
        <w:rPr>
          <w:sz w:val="24"/>
        </w:rPr>
      </w:pPr>
      <w:r>
        <w:rPr>
          <w:sz w:val="24"/>
        </w:rPr>
        <w:t>Incentivar as instituições nacionais de direitos humanos a abordar as deslocações internas.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hanging="358"/>
        <w:rPr>
          <w:sz w:val="24"/>
        </w:rPr>
      </w:pPr>
      <w:r>
        <w:rPr>
          <w:sz w:val="24"/>
        </w:rPr>
        <w:t>Assegurar a participação das PDI na tomada de decisões.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hanging="358"/>
        <w:rPr>
          <w:sz w:val="24"/>
        </w:rPr>
      </w:pPr>
      <w:r>
        <w:rPr>
          <w:sz w:val="24"/>
        </w:rPr>
        <w:t>Apoiar as soluções duradouras.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119"/>
        <w:ind w:hanging="358"/>
        <w:rPr>
          <w:sz w:val="24"/>
        </w:rPr>
      </w:pPr>
      <w:r>
        <w:rPr>
          <w:sz w:val="24"/>
        </w:rPr>
        <w:t>Atribuir os recursos adequados ao problema.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right="158"/>
        <w:rPr>
          <w:sz w:val="24"/>
        </w:rPr>
      </w:pPr>
      <w:r>
        <w:rPr>
          <w:sz w:val="24"/>
        </w:rPr>
        <w:t>Cooperar com a comunidade interna</w:t>
      </w:r>
      <w:r>
        <w:rPr>
          <w:sz w:val="24"/>
        </w:rPr>
        <w:t>cional quando a capacidade nacional for insuficiente.</w:t>
      </w:r>
    </w:p>
    <w:p w:rsidR="00E6366A" w:rsidRDefault="000B04C3">
      <w:pPr>
        <w:pStyle w:val="Corpsdetexte"/>
        <w:spacing w:before="197"/>
        <w:ind w:left="2335" w:right="158"/>
        <w:jc w:val="both"/>
      </w:pPr>
      <w:r>
        <w:t>Entre as responsabilidades nacionais está sensibilizar para as deslocações. Os instrumentos e planos de implementação nacionais obrigam as autoridades nacionais a reconhecer publicamente a sua existênci</w:t>
      </w:r>
      <w:r>
        <w:t>a, informar sobre a sua escala, causas e problemas específicos que as PDI enfrentam e dar uma formação adequada às entidades, como as forças de segurança.</w:t>
      </w:r>
    </w:p>
    <w:p w:rsidR="00E6366A" w:rsidRDefault="000B04C3">
      <w:pPr>
        <w:pStyle w:val="Corpsdetexte"/>
        <w:spacing w:before="200"/>
        <w:ind w:left="2335" w:right="158"/>
        <w:jc w:val="both"/>
      </w:pPr>
      <w:r>
        <w:t>A parte quatro da lei de 2012 do Quénia sobre as PDI insta o governo nacional a implementar campanhas</w:t>
      </w:r>
      <w:r>
        <w:t xml:space="preserve"> de sensibilização, educação e informação para o público em geral, e como parte do programa curricular escolar e universitário. Também insta as autoridades locais a tomar essas medidas a nível distrital e urbano.</w:t>
      </w:r>
    </w:p>
    <w:p w:rsidR="00E6366A" w:rsidRDefault="000B04C3">
      <w:pPr>
        <w:pStyle w:val="Corpsdetexte"/>
        <w:spacing w:before="201"/>
        <w:ind w:left="2335" w:right="158"/>
        <w:jc w:val="both"/>
      </w:pPr>
      <w:r>
        <w:t>Proteger e assistir as PDI e outras comunid</w:t>
      </w:r>
      <w:r>
        <w:t xml:space="preserve">ades afetadas pode ser a responsabilidade primária do estado, mas a Convenção de Kampala também define um princípio de responsabilidade coletiva, nos termos do qual outras unidades de intervenção são instadas a desempenhar um papel fundamental. Isto devia </w:t>
      </w:r>
      <w:r>
        <w:t>ser levado em consideração na formulação de sugestões para a melhoria dos sistemas nacionais.</w:t>
      </w:r>
    </w:p>
    <w:p w:rsidR="00E6366A" w:rsidRDefault="000B04C3">
      <w:pPr>
        <w:pStyle w:val="Corpsdetexte"/>
        <w:spacing w:before="201"/>
        <w:ind w:left="2335"/>
      </w:pPr>
      <w:r>
        <w:t>No final da sessão, os participantes deverão ser capazes de: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124"/>
        <w:ind w:right="158"/>
        <w:rPr>
          <w:sz w:val="24"/>
        </w:rPr>
      </w:pPr>
      <w:r>
        <w:rPr>
          <w:sz w:val="24"/>
        </w:rPr>
        <w:t>Identificar os obstáculos à prevenção da deslocação e as respostas à mesma.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right="158"/>
        <w:rPr>
          <w:sz w:val="24"/>
        </w:rPr>
      </w:pPr>
      <w:r>
        <w:rPr>
          <w:sz w:val="24"/>
        </w:rPr>
        <w:t>Analisar a base e as impl</w:t>
      </w:r>
      <w:r>
        <w:rPr>
          <w:sz w:val="24"/>
        </w:rPr>
        <w:t>icações do conceito de responsabilidade nacional para com as PDI.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  <w:tab w:val="left" w:pos="3711"/>
          <w:tab w:val="left" w:pos="4239"/>
          <w:tab w:val="left" w:pos="4953"/>
          <w:tab w:val="left" w:pos="5270"/>
          <w:tab w:val="left" w:pos="5961"/>
          <w:tab w:val="left" w:pos="6747"/>
          <w:tab w:val="left" w:pos="7156"/>
          <w:tab w:val="left" w:pos="7781"/>
          <w:tab w:val="left" w:pos="8190"/>
          <w:tab w:val="left" w:pos="8829"/>
        </w:tabs>
        <w:ind w:right="158"/>
        <w:rPr>
          <w:sz w:val="24"/>
        </w:rPr>
      </w:pPr>
      <w:r>
        <w:rPr>
          <w:sz w:val="24"/>
        </w:rPr>
        <w:t>Identificar os passos que um estado precisa de dar para cumprir a sua responsabilidade para com as PDI.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2"/>
        </w:tabs>
        <w:spacing w:before="196" w:line="256" w:lineRule="auto"/>
        <w:ind w:left="2761" w:right="158" w:hanging="360"/>
        <w:jc w:val="both"/>
        <w:rPr>
          <w:sz w:val="24"/>
        </w:rPr>
      </w:pPr>
      <w:r>
        <w:rPr>
          <w:sz w:val="24"/>
        </w:rPr>
        <w:t>A responsabilidade nacional decorre da soberania, um conceito com significado duplo: o direito à não interferência externa e o dever de cuidar da popula</w:t>
      </w:r>
      <w:r>
        <w:rPr>
          <w:sz w:val="24"/>
        </w:rPr>
        <w:t>ção do país.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1"/>
          <w:tab w:val="left" w:pos="2762"/>
        </w:tabs>
        <w:spacing w:before="10"/>
        <w:ind w:left="2761" w:right="158" w:hanging="360"/>
        <w:rPr>
          <w:sz w:val="24"/>
        </w:rPr>
      </w:pPr>
      <w:r>
        <w:rPr>
          <w:sz w:val="24"/>
        </w:rPr>
        <w:t>Cumprir a sua responsabilidade de proteger e assistir as PDI é uma das formas de um estado mostrar a sua soberania.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1"/>
          <w:tab w:val="left" w:pos="2762"/>
        </w:tabs>
        <w:spacing w:before="0"/>
        <w:ind w:left="2761" w:right="158" w:hanging="360"/>
        <w:rPr>
          <w:sz w:val="24"/>
        </w:rPr>
      </w:pPr>
      <w:r>
        <w:rPr>
          <w:sz w:val="24"/>
        </w:rPr>
        <w:t>A responsabilidade nacional para com as PDI é cumprida pela atuação em várias áreas operacionais diferentes.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1"/>
          <w:tab w:val="left" w:pos="2762"/>
        </w:tabs>
        <w:spacing w:before="0"/>
        <w:ind w:left="2761" w:right="159" w:hanging="360"/>
        <w:rPr>
          <w:sz w:val="24"/>
        </w:rPr>
      </w:pPr>
      <w:r>
        <w:rPr>
          <w:sz w:val="24"/>
        </w:rPr>
        <w:t>As normas legais r</w:t>
      </w:r>
      <w:r>
        <w:rPr>
          <w:sz w:val="24"/>
        </w:rPr>
        <w:t>egionais e internacionais estabelecem a essência da responsabilidade dos estados para com as PDI.</w:t>
      </w:r>
    </w:p>
    <w:p w:rsidR="00E6366A" w:rsidRDefault="00E6366A">
      <w:pPr>
        <w:rPr>
          <w:sz w:val="24"/>
        </w:rPr>
        <w:sectPr w:rsidR="00E6366A">
          <w:pgSz w:w="11900" w:h="16820"/>
          <w:pgMar w:top="1420" w:right="1480" w:bottom="280" w:left="1200" w:header="720" w:footer="720" w:gutter="0"/>
          <w:cols w:space="720"/>
        </w:sectPr>
      </w:pP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115"/>
        <w:ind w:right="158"/>
        <w:rPr>
          <w:sz w:val="24"/>
        </w:rPr>
      </w:pPr>
      <w:r>
        <w:lastRenderedPageBreak/>
        <w:pict>
          <v:group id="_x0000_s1026" style="position:absolute;left:0;text-align:left;margin-left:65.4pt;margin-top:-.35pt;width:106.1pt;height:265.2pt;z-index:15729664;mso-position-horizontal-relative:page" coordorigin="1308,-7" coordsize="2122,5304">
            <v:shape id="_x0000_s1028" style="position:absolute;left:1308;top:-7;width:2122;height:5304" coordorigin="1308,-7" coordsize="2122,5304" path="m3430,-7r-2122,l1308,3886r,1411l3430,5297r,-1411l3430,-7xe" fillcolor="#deeaf6" stroked="f">
              <v:path arrowok="t"/>
            </v:shape>
            <v:shape id="_x0000_s1027" type="#_x0000_t202" style="position:absolute;left:1308;top:-7;width:2122;height:5304" filled="f" stroked="f">
              <v:textbox inset="0,0,0,0">
                <w:txbxContent>
                  <w:p w:rsidR="00E6366A" w:rsidRDefault="00E6366A">
                    <w:pPr>
                      <w:spacing w:before="1"/>
                    </w:pPr>
                  </w:p>
                  <w:p w:rsidR="00E6366A" w:rsidRDefault="000B04C3">
                    <w:pPr>
                      <w:spacing w:before="1" w:line="436" w:lineRule="auto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DOCUMENTAÇÃO </w:t>
                    </w:r>
                    <w:r>
                      <w:rPr>
                        <w:sz w:val="21"/>
                      </w:rPr>
                      <w:t>DE APOIO</w:t>
                    </w: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rPr>
                        <w:sz w:val="26"/>
                      </w:rPr>
                    </w:pPr>
                  </w:p>
                  <w:p w:rsidR="00E6366A" w:rsidRDefault="00E6366A">
                    <w:pPr>
                      <w:spacing w:before="5"/>
                      <w:rPr>
                        <w:sz w:val="34"/>
                      </w:rPr>
                    </w:pPr>
                  </w:p>
                  <w:p w:rsidR="00E6366A" w:rsidRDefault="000B04C3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MATERIAL DE APOIO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t xml:space="preserve">Abordar as Deslocações Internas: </w:t>
      </w:r>
      <w:r>
        <w:rPr>
          <w:sz w:val="24"/>
        </w:rPr>
        <w:t>Quadro para a Responsabilidade Nacional, Brookings-Berna, 2005.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hanging="358"/>
        <w:rPr>
          <w:sz w:val="24"/>
        </w:rPr>
      </w:pPr>
      <w:r>
        <w:rPr>
          <w:sz w:val="24"/>
        </w:rPr>
        <w:t>Convenção de Kampala, 2009.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hanging="358"/>
        <w:rPr>
          <w:sz w:val="24"/>
        </w:rPr>
      </w:pPr>
      <w:r>
        <w:rPr>
          <w:sz w:val="24"/>
        </w:rPr>
        <w:t>Princípios Orientadores, 1998.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right="158"/>
        <w:rPr>
          <w:sz w:val="24"/>
        </w:rPr>
      </w:pPr>
      <w:r>
        <w:rPr>
          <w:sz w:val="24"/>
        </w:rPr>
        <w:t>Responsabilidade nacional e deslocações internas: quadro para ação, Erin Mooney, 2005.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119"/>
        <w:ind w:right="158"/>
        <w:rPr>
          <w:sz w:val="24"/>
        </w:rPr>
      </w:pPr>
      <w:r>
        <w:rPr>
          <w:sz w:val="24"/>
        </w:rPr>
        <w:t xml:space="preserve">Potenciais desafios à prevenção da deslocação </w:t>
      </w:r>
      <w:r>
        <w:rPr>
          <w:sz w:val="24"/>
        </w:rPr>
        <w:t>e respostas à mesma.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hanging="358"/>
        <w:rPr>
          <w:sz w:val="24"/>
        </w:rPr>
      </w:pPr>
      <w:r>
        <w:rPr>
          <w:sz w:val="24"/>
        </w:rPr>
        <w:t>Convenção de Kampala da UA.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124"/>
        <w:ind w:hanging="358"/>
        <w:rPr>
          <w:sz w:val="24"/>
        </w:rPr>
      </w:pPr>
      <w:r>
        <w:rPr>
          <w:sz w:val="24"/>
        </w:rPr>
        <w:t>Princípios Orientadores da ONU.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240"/>
        <w:ind w:right="158"/>
        <w:rPr>
          <w:sz w:val="24"/>
        </w:rPr>
      </w:pPr>
      <w:r>
        <w:rPr>
          <w:sz w:val="24"/>
        </w:rPr>
        <w:t>Responsabilidade nacional e deslocações internas: quadro para ação de Erin Mooney.</w:t>
      </w:r>
    </w:p>
    <w:p w:rsidR="00E6366A" w:rsidRDefault="000B04C3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right="1483"/>
        <w:rPr>
          <w:sz w:val="24"/>
        </w:rPr>
      </w:pPr>
      <w:r>
        <w:rPr>
          <w:sz w:val="24"/>
        </w:rPr>
        <w:t>Potenciais desafios à prevenção das deslocações e resposta à mesma.</w:t>
      </w:r>
    </w:p>
    <w:sectPr w:rsidR="00E6366A">
      <w:pgSz w:w="11900" w:h="16820"/>
      <w:pgMar w:top="1420" w:right="1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041EF3"/>
    <w:multiLevelType w:val="hybridMultilevel"/>
    <w:tmpl w:val="34B0C9BA"/>
    <w:lvl w:ilvl="0" w:tplc="79D6ABAE">
      <w:numFmt w:val="bullet"/>
      <w:lvlText w:val=""/>
      <w:lvlJc w:val="left"/>
      <w:pPr>
        <w:ind w:left="2760" w:hanging="357"/>
      </w:pPr>
      <w:rPr>
        <w:rFonts w:ascii="Wingdings" w:eastAsia="Wingdings" w:hAnsi="Wingdings" w:cs="Wingdings" w:hint="default"/>
        <w:color w:val="1F4E79"/>
        <w:w w:val="100"/>
        <w:sz w:val="24"/>
        <w:szCs w:val="24"/>
      </w:rPr>
    </w:lvl>
    <w:lvl w:ilvl="1" w:tplc="B69AB724">
      <w:numFmt w:val="bullet"/>
      <w:lvlText w:val="•"/>
      <w:lvlJc w:val="left"/>
      <w:pPr>
        <w:ind w:left="3406" w:hanging="357"/>
      </w:pPr>
      <w:rPr>
        <w:rFonts w:hint="default"/>
      </w:rPr>
    </w:lvl>
    <w:lvl w:ilvl="2" w:tplc="93909FEE">
      <w:numFmt w:val="bullet"/>
      <w:lvlText w:val="•"/>
      <w:lvlJc w:val="left"/>
      <w:pPr>
        <w:ind w:left="4052" w:hanging="357"/>
      </w:pPr>
      <w:rPr>
        <w:rFonts w:hint="default"/>
      </w:rPr>
    </w:lvl>
    <w:lvl w:ilvl="3" w:tplc="0D4453FC">
      <w:numFmt w:val="bullet"/>
      <w:lvlText w:val="•"/>
      <w:lvlJc w:val="left"/>
      <w:pPr>
        <w:ind w:left="4698" w:hanging="357"/>
      </w:pPr>
      <w:rPr>
        <w:rFonts w:hint="default"/>
      </w:rPr>
    </w:lvl>
    <w:lvl w:ilvl="4" w:tplc="7E6C6178">
      <w:numFmt w:val="bullet"/>
      <w:lvlText w:val="•"/>
      <w:lvlJc w:val="left"/>
      <w:pPr>
        <w:ind w:left="5344" w:hanging="357"/>
      </w:pPr>
      <w:rPr>
        <w:rFonts w:hint="default"/>
      </w:rPr>
    </w:lvl>
    <w:lvl w:ilvl="5" w:tplc="96D61F16">
      <w:numFmt w:val="bullet"/>
      <w:lvlText w:val="•"/>
      <w:lvlJc w:val="left"/>
      <w:pPr>
        <w:ind w:left="5990" w:hanging="357"/>
      </w:pPr>
      <w:rPr>
        <w:rFonts w:hint="default"/>
      </w:rPr>
    </w:lvl>
    <w:lvl w:ilvl="6" w:tplc="E6F275DA">
      <w:numFmt w:val="bullet"/>
      <w:lvlText w:val="•"/>
      <w:lvlJc w:val="left"/>
      <w:pPr>
        <w:ind w:left="6636" w:hanging="357"/>
      </w:pPr>
      <w:rPr>
        <w:rFonts w:hint="default"/>
      </w:rPr>
    </w:lvl>
    <w:lvl w:ilvl="7" w:tplc="BAD884C2">
      <w:numFmt w:val="bullet"/>
      <w:lvlText w:val="•"/>
      <w:lvlJc w:val="left"/>
      <w:pPr>
        <w:ind w:left="7282" w:hanging="357"/>
      </w:pPr>
      <w:rPr>
        <w:rFonts w:hint="default"/>
      </w:rPr>
    </w:lvl>
    <w:lvl w:ilvl="8" w:tplc="67C6A686">
      <w:numFmt w:val="bullet"/>
      <w:lvlText w:val="•"/>
      <w:lvlJc w:val="left"/>
      <w:pPr>
        <w:ind w:left="7928" w:hanging="35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366A"/>
    <w:rsid w:val="000B04C3"/>
    <w:rsid w:val="00E6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F867372"/>
  <w15:docId w15:val="{B6CB2B66-A4F4-4460-999C-92CEF8C8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120"/>
      <w:ind w:left="2760"/>
    </w:pPr>
    <w:rPr>
      <w:sz w:val="24"/>
      <w:szCs w:val="24"/>
    </w:rPr>
  </w:style>
  <w:style w:type="paragraph" w:styleId="Titre">
    <w:name w:val="Title"/>
    <w:basedOn w:val="Normal"/>
    <w:uiPriority w:val="10"/>
    <w:qFormat/>
    <w:pPr>
      <w:ind w:left="213"/>
    </w:pPr>
    <w:rPr>
      <w:sz w:val="48"/>
      <w:szCs w:val="48"/>
    </w:rPr>
  </w:style>
  <w:style w:type="paragraph" w:styleId="Paragraphedeliste">
    <w:name w:val="List Paragraph"/>
    <w:basedOn w:val="Normal"/>
    <w:uiPriority w:val="1"/>
    <w:qFormat/>
    <w:pPr>
      <w:spacing w:before="120"/>
      <w:ind w:left="2760" w:hanging="35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723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2021-01-20T13:57:00Z</dcterms:created>
  <dcterms:modified xsi:type="dcterms:W3CDTF">2021-01-20T13:57:00Z</dcterms:modified>
</cp:coreProperties>
</file>